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345E6" w14:textId="6F403743" w:rsidR="009E32F0" w:rsidRDefault="00C252FC" w:rsidP="009E32F0">
      <w:pPr>
        <w:autoSpaceDE w:val="0"/>
        <w:autoSpaceDN w:val="0"/>
        <w:adjustRightInd w:val="0"/>
        <w:rPr>
          <w:rFonts w:ascii="TrebuchetMS" w:hAnsi="TrebuchetMS" w:cs="TrebuchetMS"/>
          <w:color w:val="17365D"/>
          <w:sz w:val="52"/>
          <w:szCs w:val="52"/>
          <w:lang w:val="en-US" w:eastAsia="en-GB"/>
        </w:rPr>
      </w:pPr>
      <w:r w:rsidRPr="004E7026">
        <w:rPr>
          <w:rFonts w:ascii="Arial" w:hAnsi="Arial" w:cs="Arial"/>
        </w:rPr>
        <w:tab/>
      </w:r>
    </w:p>
    <w:p w14:paraId="2275F4AE"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1. Introduction</w:t>
      </w:r>
    </w:p>
    <w:p w14:paraId="5892E863" w14:textId="7212F658"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Northern Ireland Fencing (NIF) aims to conduct its business at all times with the highest standards of integrity, and honesty. We expect all employees and workers to maintain the same standards in everything they do. All those who work for us are therefore strongly encouraged to report any perceived wrongdoing by the organisation or its employees, workers, contractors or agents that falls short of these principles.</w:t>
      </w:r>
    </w:p>
    <w:p w14:paraId="5C818447" w14:textId="6FBC90CD" w:rsidR="00F61AF2" w:rsidRDefault="00F61AF2" w:rsidP="009E32F0">
      <w:pPr>
        <w:autoSpaceDE w:val="0"/>
        <w:autoSpaceDN w:val="0"/>
        <w:adjustRightInd w:val="0"/>
        <w:rPr>
          <w:rFonts w:ascii="Calibri" w:hAnsi="Calibri" w:cs="Calibri"/>
          <w:color w:val="000000"/>
          <w:sz w:val="22"/>
          <w:szCs w:val="22"/>
          <w:lang w:val="en-US" w:eastAsia="en-GB"/>
        </w:rPr>
      </w:pPr>
    </w:p>
    <w:p w14:paraId="300BEFBA" w14:textId="36BB159A" w:rsidR="00F61AF2" w:rsidRDefault="00F61AF2"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General advice about whistleblowing can be found on the NI Government website</w:t>
      </w:r>
    </w:p>
    <w:p w14:paraId="4238881E" w14:textId="2FC7BB5D" w:rsidR="00F61AF2" w:rsidRDefault="00242A9A" w:rsidP="009E32F0">
      <w:pPr>
        <w:autoSpaceDE w:val="0"/>
        <w:autoSpaceDN w:val="0"/>
        <w:adjustRightInd w:val="0"/>
        <w:rPr>
          <w:rFonts w:ascii="Calibri" w:hAnsi="Calibri" w:cs="Calibri"/>
          <w:color w:val="000000"/>
          <w:sz w:val="22"/>
          <w:szCs w:val="22"/>
          <w:lang w:val="en-US" w:eastAsia="en-GB"/>
        </w:rPr>
      </w:pPr>
      <w:hyperlink r:id="rId8" w:history="1">
        <w:r w:rsidR="00F61AF2" w:rsidRPr="00B04EAA">
          <w:rPr>
            <w:rStyle w:val="Hyperlink"/>
            <w:rFonts w:ascii="Calibri" w:hAnsi="Calibri" w:cs="Calibri"/>
            <w:sz w:val="22"/>
            <w:szCs w:val="22"/>
            <w:lang w:val="en-US" w:eastAsia="en-GB"/>
          </w:rPr>
          <w:t>https://www.nidirect.gov.uk/articles/blowing-whistle-workplace-wrongdoing</w:t>
        </w:r>
      </w:hyperlink>
    </w:p>
    <w:p w14:paraId="21A445B0"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16E9FA81" w14:textId="526AFD08"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This policy is not contractual but sets out the way in which we plan to manage such issues.</w:t>
      </w:r>
    </w:p>
    <w:p w14:paraId="6D7A100B"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293BE6DB"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2. Scope of this policy</w:t>
      </w:r>
    </w:p>
    <w:p w14:paraId="50570F6C" w14:textId="43557E9B"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This policy covers all employees and workers, including those on fixed-term contracts, any casual workers or agency workers. It aims to protect those who make a 'protected disclosure' either during their employment (or duration of the contract/agreement in the case of workers) and also after this has ended, and also enables them to take action in respect of any victimisation.</w:t>
      </w:r>
    </w:p>
    <w:p w14:paraId="41E6E84F"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02C7DFD6" w14:textId="48CD859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For a disclosure to be protected it must reasonably appear to the employee or worker that it is in the ’public interest‘. The previous requirement that it should be brought in "good faith" no longer applies (however a disclosure that is not made in good faith may result in a reduction of up to 25% in any compensation subsequently awarded by a tribunal). Note that the scope of this policy does not cover any potential breaches of an employee's employment contract: these should be raised under our grievance procedure.</w:t>
      </w:r>
    </w:p>
    <w:p w14:paraId="0F8AD2F7"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67C99AE8" w14:textId="422C9AB8"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Nor is this policy intended to be used to question financial or business decisions taken by us, nor as a means of reconsidering any matters that have already been addressed under our bullying and harassment, grievance, disciplinary or other procedures.</w:t>
      </w:r>
    </w:p>
    <w:p w14:paraId="44385B9C"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3C489750"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3. Aims of this policy</w:t>
      </w:r>
    </w:p>
    <w:p w14:paraId="11A24878" w14:textId="6C87FD7F"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This policy aims to assist us in the early detection of any inappropriate behaviour or practices within BF and to provide a clear procedure for our employees and workers to report to us any wrongdoing at work which they believe has occurred, or is likely to occur. We recognise that individuals may not always feel comfortable about discussing their concerns internally, especially if they believe that the business itself is responsible for the wrongdoing. The aim of this policy is to ensure that they feel confident and able to raise any reasonable concern about our business activities in the knowledge that it will be taken seriously, and that no action will be taken against them by either BF or their colleagues.</w:t>
      </w:r>
    </w:p>
    <w:p w14:paraId="3814E31A"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19C2E682"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lastRenderedPageBreak/>
        <w:t>4. Legal considerations</w:t>
      </w:r>
    </w:p>
    <w:p w14:paraId="6511C491" w14:textId="015FFC2F"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The following pieces of legislation apply to this policy (Or their NI equivalents):</w:t>
      </w:r>
    </w:p>
    <w:p w14:paraId="75AEE97B"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Protection from Harassment Act 1997</w:t>
      </w:r>
    </w:p>
    <w:p w14:paraId="524008B9"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Public Interest Disclosure Act 1998 (PIDA)</w:t>
      </w:r>
    </w:p>
    <w:p w14:paraId="7D9B708D"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Bribery Act 2010</w:t>
      </w:r>
    </w:p>
    <w:p w14:paraId="4F39DF23" w14:textId="5A5A4215"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Enterprise and Regulatory Reform Act 2013.</w:t>
      </w:r>
    </w:p>
    <w:p w14:paraId="53A60382"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7A321CC0"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5. Responsibility</w:t>
      </w:r>
    </w:p>
    <w:p w14:paraId="1588281A" w14:textId="6CDED928"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The overall responsibility for implementing and monitoring the effectiveness of this policy rests with the senior management of NIF. Managers and supervisors have a crucial role to play in encouraging employees and workers under their supervision to report any concerns they may have. Any employee or worker who has knowledge of, or reasonably suspects, any fraud, theft or other suspicious or unlawful act taking place within BF is required to report this to his/her manager, or to use the procedure set out below.</w:t>
      </w:r>
    </w:p>
    <w:p w14:paraId="3C3DBFBA"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22867EFC" w14:textId="45758981"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All employees and workers, irrespective of their job or seniority, are required not to subject any other employee or worker to any detrimental treatment nor harass or bully such an individual on the basis that he/she has raised a concern under this policy. They are also required not to encourage others to do so nor to tolerate such behaviour. Disciplinary action, including dismissal, may be taken against any employee found guilty of </w:t>
      </w:r>
      <w:r w:rsidR="00BC31D5">
        <w:rPr>
          <w:rFonts w:ascii="Calibri" w:hAnsi="Calibri" w:cs="Calibri"/>
          <w:color w:val="000000"/>
          <w:sz w:val="22"/>
          <w:szCs w:val="22"/>
          <w:lang w:val="en-US" w:eastAsia="en-GB"/>
        </w:rPr>
        <w:t xml:space="preserve">such </w:t>
      </w:r>
      <w:proofErr w:type="spellStart"/>
      <w:r w:rsidR="00BC31D5">
        <w:rPr>
          <w:rFonts w:ascii="Calibri" w:hAnsi="Calibri" w:cs="Calibri"/>
          <w:color w:val="000000"/>
          <w:sz w:val="22"/>
          <w:szCs w:val="22"/>
          <w:lang w:val="en-US" w:eastAsia="en-GB"/>
        </w:rPr>
        <w:t>behaviour</w:t>
      </w:r>
      <w:proofErr w:type="spellEnd"/>
      <w:r>
        <w:rPr>
          <w:rFonts w:ascii="Calibri" w:hAnsi="Calibri" w:cs="Calibri"/>
          <w:color w:val="000000"/>
          <w:sz w:val="22"/>
          <w:szCs w:val="22"/>
          <w:lang w:val="en-US" w:eastAsia="en-GB"/>
        </w:rPr>
        <w:t>. In addition, an employee or worker who has victimised a colleague may be personally liable for any victimisation.</w:t>
      </w:r>
    </w:p>
    <w:p w14:paraId="5CD51578" w14:textId="77777777" w:rsidR="009E32F0" w:rsidRDefault="009E32F0" w:rsidP="009E32F0">
      <w:pPr>
        <w:autoSpaceDE w:val="0"/>
        <w:autoSpaceDN w:val="0"/>
        <w:adjustRightInd w:val="0"/>
        <w:rPr>
          <w:rFonts w:ascii="Calibri" w:hAnsi="Calibri" w:cs="Calibri"/>
          <w:color w:val="000000"/>
          <w:sz w:val="22"/>
          <w:szCs w:val="22"/>
          <w:lang w:val="en-US" w:eastAsia="en-GB"/>
        </w:rPr>
      </w:pPr>
    </w:p>
    <w:p w14:paraId="1CC244D1"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6. Procedure</w:t>
      </w:r>
    </w:p>
    <w:p w14:paraId="4378E937" w14:textId="67FF6F05"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All of our employees and workers are encouraged to use the procedure set out below if they have a concern about any of the following:</w:t>
      </w:r>
    </w:p>
    <w:p w14:paraId="1097B1CF"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wrongdoing at work, including any criminal offence</w:t>
      </w:r>
    </w:p>
    <w:p w14:paraId="268D08F9"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 failure to comply with legal obligations or breach of any statutory Code of Practice</w:t>
      </w:r>
    </w:p>
    <w:p w14:paraId="0B9E09D5"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(however, note that any complaint relating to an alleged breach of an employee's individual</w:t>
      </w:r>
    </w:p>
    <w:p w14:paraId="48EBEDE5"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contract should be raised under our grievance procedure)</w:t>
      </w:r>
    </w:p>
    <w:p w14:paraId="1E1248E7"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 miscarriage of justice</w:t>
      </w:r>
    </w:p>
    <w:p w14:paraId="3E83902C"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 health and safety danger</w:t>
      </w:r>
    </w:p>
    <w:p w14:paraId="583EC20C"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an environmental risk or</w:t>
      </w:r>
    </w:p>
    <w:p w14:paraId="7AA72CEF"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 concealment of any of these.</w:t>
      </w:r>
    </w:p>
    <w:p w14:paraId="7A73C036"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This list is not exhaustive but indicates the types of concerns that should be raised:</w:t>
      </w:r>
    </w:p>
    <w:p w14:paraId="45A1CD54"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misuse of assets (including stores, equipment, vehicles, buildings, computer hardware and</w:t>
      </w:r>
    </w:p>
    <w:p w14:paraId="6B4EF724"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software)</w:t>
      </w:r>
    </w:p>
    <w:p w14:paraId="4F6C01EF"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failure to comply with appropriate professional standards</w:t>
      </w:r>
    </w:p>
    <w:p w14:paraId="7D93105A"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bribery, corruption or fraud including the receiving or giving of gifts or hospitality in breach</w:t>
      </w:r>
    </w:p>
    <w:p w14:paraId="0DE7476E"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of our procedures</w:t>
      </w:r>
    </w:p>
    <w:p w14:paraId="7CAC0ED0"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falsifying records</w:t>
      </w:r>
    </w:p>
    <w:p w14:paraId="6FC1492E"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lastRenderedPageBreak/>
        <w:t xml:space="preserve">- </w:t>
      </w:r>
      <w:r>
        <w:rPr>
          <w:rFonts w:ascii="Calibri" w:hAnsi="Calibri" w:cs="Calibri"/>
          <w:color w:val="000000"/>
          <w:sz w:val="22"/>
          <w:szCs w:val="22"/>
          <w:lang w:val="en-US" w:eastAsia="en-GB"/>
        </w:rPr>
        <w:t>failure to take reasonable steps to report and rectify any situation which is likely to give rise</w:t>
      </w:r>
    </w:p>
    <w:p w14:paraId="65216138"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to a significant avoidable cost, or loss of income to the business or would otherwise seriously</w:t>
      </w:r>
    </w:p>
    <w:p w14:paraId="4C9B96C2"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prejudice it</w:t>
      </w:r>
    </w:p>
    <w:p w14:paraId="07F35C28"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abuse of authority</w:t>
      </w:r>
    </w:p>
    <w:p w14:paraId="1E232F8B" w14:textId="60F0400B"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 xml:space="preserve">using the power and authority of </w:t>
      </w:r>
      <w:r w:rsidR="00D4698D">
        <w:rPr>
          <w:rFonts w:ascii="Calibri" w:hAnsi="Calibri" w:cs="Calibri"/>
          <w:color w:val="000000"/>
          <w:sz w:val="22"/>
          <w:szCs w:val="22"/>
          <w:lang w:val="en-US" w:eastAsia="en-GB"/>
        </w:rPr>
        <w:t>NIF</w:t>
      </w:r>
      <w:r>
        <w:rPr>
          <w:rFonts w:ascii="Calibri" w:hAnsi="Calibri" w:cs="Calibri"/>
          <w:color w:val="000000"/>
          <w:sz w:val="22"/>
          <w:szCs w:val="22"/>
          <w:lang w:val="en-US" w:eastAsia="en-GB"/>
        </w:rPr>
        <w:t xml:space="preserve"> for any unauthorised or ulterior purpose</w:t>
      </w:r>
    </w:p>
    <w:p w14:paraId="46E3A623"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causing damage to the environment.</w:t>
      </w:r>
    </w:p>
    <w:p w14:paraId="22BD5CF7" w14:textId="3F2E551B"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The employee or worker does not have to be able to prove the allegations, but should have a</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reasonable and genuine belief that the information being disclosed is true: some allegations may</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prove to be unfounded, but we would prefer the issue or concern to be raised, rather than run the</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risk of not detecting a problem early on.</w:t>
      </w:r>
    </w:p>
    <w:p w14:paraId="6F83C1DA"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439412E6" w14:textId="1BED4264"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If appropriate, he/she should discuss the matter with his/her manager in the first instance. However,</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should he/she prefer (perhaps because the manager is unavailable, or indeed might be the cause of</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concern), then any of the following, all of whom are designated to deal with such matters, may</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 approached: any manager or the CEO.</w:t>
      </w:r>
    </w:p>
    <w:p w14:paraId="601331E2" w14:textId="66FF724E"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Where requested, we will respect (so far as we can legally) the confidentiality of any whistleblowing</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complaint received, but cannot guarantee that the investigation process will not result in colleagues</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speculating on the identity of the whistleblower. It must be appreciated that it will be easier to</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follow up and to verify complaints if the individual is prepared to give his/her name, and</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unsupported anonymous complaints and allegations are much less powerful and therefore will be</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treated with caution.</w:t>
      </w:r>
    </w:p>
    <w:p w14:paraId="70D112BE"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5C15C23D" w14:textId="33310F12"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If the matter requires further investigation, this will be carried out and the individual raising the</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concern will be informed of the outcome of the investigation and what action, if any, has been</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taken. Where such investigation involves outside agencies (</w:t>
      </w:r>
      <w:r w:rsidR="00BC31D5">
        <w:rPr>
          <w:rFonts w:ascii="Calibri" w:hAnsi="Calibri" w:cs="Calibri"/>
          <w:color w:val="000000"/>
          <w:sz w:val="22"/>
          <w:szCs w:val="22"/>
          <w:lang w:val="en-US" w:eastAsia="en-GB"/>
        </w:rPr>
        <w:t>e.g.</w:t>
      </w:r>
      <w:r>
        <w:rPr>
          <w:rFonts w:ascii="Calibri" w:hAnsi="Calibri" w:cs="Calibri"/>
          <w:color w:val="000000"/>
          <w:sz w:val="22"/>
          <w:szCs w:val="22"/>
          <w:lang w:val="en-US" w:eastAsia="en-GB"/>
        </w:rPr>
        <w:t xml:space="preserve"> the police) this may cause some delay</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 the investigation.</w:t>
      </w:r>
    </w:p>
    <w:p w14:paraId="7CF540BE"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2DFEA568" w14:textId="0C8CED0C"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If he/she remains unhappy about the speed or conduct of the investigation, or the way in which the</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matter has been resolved, he/she should refer the matter to the </w:t>
      </w:r>
      <w:r w:rsidR="00D4698D">
        <w:rPr>
          <w:rFonts w:ascii="Calibri" w:hAnsi="Calibri" w:cs="Calibri"/>
          <w:color w:val="000000"/>
          <w:sz w:val="22"/>
          <w:szCs w:val="22"/>
          <w:lang w:val="en-US" w:eastAsia="en-GB"/>
        </w:rPr>
        <w:t>MD</w:t>
      </w:r>
      <w:r>
        <w:rPr>
          <w:rFonts w:ascii="Calibri" w:hAnsi="Calibri" w:cs="Calibri"/>
          <w:color w:val="000000"/>
          <w:sz w:val="22"/>
          <w:szCs w:val="22"/>
          <w:lang w:val="en-US" w:eastAsia="en-GB"/>
        </w:rPr>
        <w:t xml:space="preserve"> or a member of the Board.</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Following further investigation of the complaint, the individual will be informed of the result and</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whether any action has been taken.</w:t>
      </w:r>
    </w:p>
    <w:p w14:paraId="0BAEE9B9"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116B6F25" w14:textId="73B17D6E"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We undertake that no employee or worker who makes a bona fide report under this procedure will</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 subjected to any detriment as a result, and we will not condone any form of victimisation,</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bullying or other detrimental treatment (</w:t>
      </w:r>
      <w:r w:rsidR="00BC31D5">
        <w:rPr>
          <w:rFonts w:ascii="Calibri" w:hAnsi="Calibri" w:cs="Calibri"/>
          <w:color w:val="000000"/>
          <w:sz w:val="22"/>
          <w:szCs w:val="22"/>
          <w:lang w:val="en-US" w:eastAsia="en-GB"/>
        </w:rPr>
        <w:t>e.g.</w:t>
      </w:r>
      <w:r>
        <w:rPr>
          <w:rFonts w:ascii="Calibri" w:hAnsi="Calibri" w:cs="Calibri"/>
          <w:color w:val="000000"/>
          <w:sz w:val="22"/>
          <w:szCs w:val="22"/>
          <w:lang w:val="en-US" w:eastAsia="en-GB"/>
        </w:rPr>
        <w:t xml:space="preserve"> by co-workers) of anyone who has raised a concern</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under the remit of this policy. If any individual feels that he/she is being subjected to detrimental</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treatment, bullying or harassment by any person within the business (including his/her colleagues</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and co-workers) as a result of his/her decision to invoke this procedure, he/she must inform the </w:t>
      </w:r>
      <w:r w:rsidR="00D4698D">
        <w:rPr>
          <w:rFonts w:ascii="Calibri" w:hAnsi="Calibri" w:cs="Calibri"/>
          <w:color w:val="000000"/>
          <w:sz w:val="22"/>
          <w:szCs w:val="22"/>
          <w:lang w:val="en-US" w:eastAsia="en-GB"/>
        </w:rPr>
        <w:t xml:space="preserve">MD </w:t>
      </w:r>
      <w:r>
        <w:rPr>
          <w:rFonts w:ascii="Calibri" w:hAnsi="Calibri" w:cs="Calibri"/>
          <w:color w:val="000000"/>
          <w:sz w:val="22"/>
          <w:szCs w:val="22"/>
          <w:lang w:val="en-US" w:eastAsia="en-GB"/>
        </w:rPr>
        <w:t>immediately and appropriate action will be taken to protect him/her from any reprisals. Any</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victimisation, bullying or detrimental treatment will be dealt with under our disciplinary procedure.</w:t>
      </w:r>
    </w:p>
    <w:p w14:paraId="5C6A473C" w14:textId="3F1F3991"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lastRenderedPageBreak/>
        <w:t>However, if it should become clear that the procedure has been invoked for malicious reasons or to</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pursue a personal grudge, this will constitute misconduct and will be dealt with through our</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disciplinary procedure.</w:t>
      </w:r>
    </w:p>
    <w:p w14:paraId="23157EAF"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743BAEEC"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7. Referral to external bodies</w:t>
      </w:r>
    </w:p>
    <w:p w14:paraId="0CEA7712" w14:textId="371E7523"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We recognise there may be matters that cannot be dealt with internally and external authorities</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(such as the police, the Health and Safety Executive or external auditors) will need to become</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involved. Where this is </w:t>
      </w:r>
      <w:r w:rsidR="00D4698D">
        <w:rPr>
          <w:rFonts w:ascii="Calibri" w:hAnsi="Calibri" w:cs="Calibri"/>
          <w:color w:val="000000"/>
          <w:sz w:val="22"/>
          <w:szCs w:val="22"/>
          <w:lang w:val="en-US" w:eastAsia="en-GB"/>
        </w:rPr>
        <w:t>necessary,</w:t>
      </w:r>
      <w:r>
        <w:rPr>
          <w:rFonts w:ascii="Calibri" w:hAnsi="Calibri" w:cs="Calibri"/>
          <w:color w:val="000000"/>
          <w:sz w:val="22"/>
          <w:szCs w:val="22"/>
          <w:lang w:val="en-US" w:eastAsia="en-GB"/>
        </w:rPr>
        <w:t xml:space="preserve"> we reserve the right to make such a referral without the</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employee's or worker's consent.</w:t>
      </w:r>
    </w:p>
    <w:p w14:paraId="26808C5E"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19E6B70C"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8. Ex-employees and workers</w:t>
      </w:r>
    </w:p>
    <w:p w14:paraId="4309021A" w14:textId="77777777"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Any protected disclosures made by ex-employees or workers after the termination of their</w:t>
      </w:r>
    </w:p>
    <w:p w14:paraId="2F9DB573" w14:textId="196465F0"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employment/contract should also be dealt with under this procedure. In such cases, we normally ask</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that the employee/worker sets out the details of his/her concerns in writing and we will then</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respond in writing, having undertaken such investigations as we deem to be appropriate.</w:t>
      </w:r>
    </w:p>
    <w:p w14:paraId="3BA762EC"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5046CC33"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9. Related policies and documents</w:t>
      </w:r>
    </w:p>
    <w:p w14:paraId="7F8C361F" w14:textId="411596C5"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We also have the following related policies and documents: Bullying and harassment policy; data</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protection policy; grievance procedure; disciplinary procedure.</w:t>
      </w:r>
    </w:p>
    <w:p w14:paraId="7445D34A" w14:textId="77777777" w:rsidR="00D4698D" w:rsidRDefault="00D4698D" w:rsidP="009E32F0">
      <w:pPr>
        <w:autoSpaceDE w:val="0"/>
        <w:autoSpaceDN w:val="0"/>
        <w:adjustRightInd w:val="0"/>
        <w:rPr>
          <w:rFonts w:ascii="Calibri" w:hAnsi="Calibri" w:cs="Calibri"/>
          <w:color w:val="000000"/>
          <w:sz w:val="22"/>
          <w:szCs w:val="22"/>
          <w:lang w:val="en-US" w:eastAsia="en-GB"/>
        </w:rPr>
      </w:pPr>
    </w:p>
    <w:p w14:paraId="41055080" w14:textId="77777777" w:rsidR="009E32F0" w:rsidRPr="003A6C49" w:rsidRDefault="009E32F0" w:rsidP="009E32F0">
      <w:pPr>
        <w:autoSpaceDE w:val="0"/>
        <w:autoSpaceDN w:val="0"/>
        <w:adjustRightInd w:val="0"/>
        <w:rPr>
          <w:rFonts w:ascii="TrebuchetMS" w:hAnsi="TrebuchetMS" w:cs="TrebuchetMS"/>
          <w:color w:val="DB291C"/>
          <w:sz w:val="32"/>
          <w:szCs w:val="32"/>
          <w:lang w:val="en-US" w:eastAsia="en-GB"/>
        </w:rPr>
      </w:pPr>
      <w:r w:rsidRPr="003A6C49">
        <w:rPr>
          <w:rFonts w:ascii="TrebuchetMS" w:hAnsi="TrebuchetMS" w:cs="TrebuchetMS"/>
          <w:color w:val="DB291C"/>
          <w:sz w:val="32"/>
          <w:szCs w:val="32"/>
          <w:lang w:val="en-US" w:eastAsia="en-GB"/>
        </w:rPr>
        <w:t>10. Implementation, monitoring and review of this policy</w:t>
      </w:r>
    </w:p>
    <w:p w14:paraId="13367219" w14:textId="3F140AEB" w:rsidR="009E32F0" w:rsidRDefault="009E32F0" w:rsidP="009E32F0">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This policy will take effect from 1</w:t>
      </w:r>
      <w:r>
        <w:rPr>
          <w:rFonts w:ascii="Calibri" w:hAnsi="Calibri" w:cs="Calibri"/>
          <w:color w:val="000000"/>
          <w:sz w:val="14"/>
          <w:szCs w:val="14"/>
          <w:lang w:val="en-US" w:eastAsia="en-GB"/>
        </w:rPr>
        <w:t xml:space="preserve">st </w:t>
      </w:r>
      <w:r w:rsidR="006234B7">
        <w:rPr>
          <w:rFonts w:ascii="Calibri" w:hAnsi="Calibri" w:cs="Calibri"/>
          <w:color w:val="000000"/>
          <w:sz w:val="22"/>
          <w:szCs w:val="22"/>
          <w:lang w:val="en-US" w:eastAsia="en-GB"/>
        </w:rPr>
        <w:t>March 2020</w:t>
      </w:r>
      <w:r>
        <w:rPr>
          <w:rFonts w:ascii="Calibri" w:hAnsi="Calibri" w:cs="Calibri"/>
          <w:color w:val="000000"/>
          <w:sz w:val="22"/>
          <w:szCs w:val="22"/>
          <w:lang w:val="en-US" w:eastAsia="en-GB"/>
        </w:rPr>
        <w:t xml:space="preserve">. The </w:t>
      </w:r>
      <w:r w:rsidR="006234B7">
        <w:rPr>
          <w:rFonts w:ascii="Calibri" w:hAnsi="Calibri" w:cs="Calibri"/>
          <w:color w:val="000000"/>
          <w:sz w:val="22"/>
          <w:szCs w:val="22"/>
          <w:lang w:val="en-US" w:eastAsia="en-GB"/>
        </w:rPr>
        <w:t>NIF Board</w:t>
      </w:r>
      <w:r>
        <w:rPr>
          <w:rFonts w:ascii="Calibri" w:hAnsi="Calibri" w:cs="Calibri"/>
          <w:color w:val="000000"/>
          <w:sz w:val="22"/>
          <w:szCs w:val="22"/>
          <w:lang w:val="en-US" w:eastAsia="en-GB"/>
        </w:rPr>
        <w:t xml:space="preserve"> has overall responsibility for implementing</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monitoring this policy, which will be reviewed on a regular basis following its implementation</w:t>
      </w:r>
      <w:r w:rsidR="00D4698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may be changed from time to time.</w:t>
      </w:r>
    </w:p>
    <w:p w14:paraId="637795F6" w14:textId="77777777" w:rsidR="00B473E1" w:rsidRDefault="00B473E1" w:rsidP="009E32F0">
      <w:pPr>
        <w:autoSpaceDE w:val="0"/>
        <w:autoSpaceDN w:val="0"/>
        <w:adjustRightInd w:val="0"/>
        <w:rPr>
          <w:rFonts w:ascii="Calibri" w:hAnsi="Calibri" w:cs="Calibri"/>
          <w:color w:val="000000"/>
          <w:sz w:val="22"/>
          <w:szCs w:val="22"/>
          <w:lang w:val="en-US" w:eastAsia="en-GB"/>
        </w:rPr>
      </w:pPr>
    </w:p>
    <w:p w14:paraId="4E2CB352" w14:textId="1661CD81" w:rsidR="00BF6C33" w:rsidRPr="004E7026" w:rsidRDefault="009E32F0" w:rsidP="009E32F0">
      <w:pPr>
        <w:spacing w:line="360" w:lineRule="auto"/>
        <w:jc w:val="both"/>
        <w:rPr>
          <w:rFonts w:ascii="Arial" w:hAnsi="Arial" w:cs="Arial"/>
          <w:sz w:val="22"/>
          <w:szCs w:val="22"/>
        </w:rPr>
      </w:pPr>
      <w:r>
        <w:rPr>
          <w:rFonts w:ascii="Calibri" w:hAnsi="Calibri" w:cs="Calibri"/>
          <w:color w:val="000000"/>
          <w:sz w:val="22"/>
          <w:szCs w:val="22"/>
          <w:lang w:val="en-US" w:eastAsia="en-GB"/>
        </w:rPr>
        <w:t xml:space="preserve">Any queries or comments about this policy should be addressed to </w:t>
      </w:r>
      <w:r w:rsidR="00D4698D">
        <w:rPr>
          <w:rFonts w:ascii="Calibri" w:hAnsi="Calibri" w:cs="Calibri"/>
          <w:color w:val="000000"/>
          <w:sz w:val="22"/>
          <w:szCs w:val="22"/>
          <w:lang w:val="en-US" w:eastAsia="en-GB"/>
        </w:rPr>
        <w:t>MD</w:t>
      </w:r>
      <w:r>
        <w:rPr>
          <w:rFonts w:ascii="Calibri" w:hAnsi="Calibri" w:cs="Calibri"/>
          <w:color w:val="000000"/>
          <w:sz w:val="22"/>
          <w:szCs w:val="22"/>
          <w:lang w:val="en-US" w:eastAsia="en-GB"/>
        </w:rPr>
        <w:t>.</w:t>
      </w:r>
      <w:r w:rsidR="00C252FC" w:rsidRPr="004E7026">
        <w:rPr>
          <w:rFonts w:ascii="Arial" w:hAnsi="Arial" w:cs="Arial"/>
        </w:rPr>
        <w:tab/>
      </w:r>
      <w:r w:rsidR="00C252FC" w:rsidRPr="004E7026">
        <w:rPr>
          <w:rFonts w:ascii="Arial" w:hAnsi="Arial" w:cs="Arial"/>
        </w:rPr>
        <w:tab/>
      </w:r>
      <w:r w:rsidR="00C252FC" w:rsidRPr="004E7026">
        <w:rPr>
          <w:rFonts w:ascii="Arial" w:hAnsi="Arial" w:cs="Arial"/>
        </w:rPr>
        <w:tab/>
      </w:r>
      <w:r w:rsidR="00C252FC" w:rsidRPr="004E7026">
        <w:rPr>
          <w:rFonts w:ascii="Arial" w:hAnsi="Arial" w:cs="Arial"/>
        </w:rPr>
        <w:tab/>
      </w:r>
      <w:r w:rsidR="00C252FC" w:rsidRPr="004E7026">
        <w:rPr>
          <w:rFonts w:ascii="Arial" w:hAnsi="Arial" w:cs="Arial"/>
        </w:rPr>
        <w:tab/>
      </w:r>
      <w:r w:rsidR="00C252FC" w:rsidRPr="004E7026">
        <w:rPr>
          <w:rFonts w:ascii="Arial" w:hAnsi="Arial" w:cs="Arial"/>
        </w:rPr>
        <w:tab/>
      </w:r>
      <w:r w:rsidR="00C252FC" w:rsidRPr="004E7026">
        <w:rPr>
          <w:rFonts w:ascii="Arial" w:hAnsi="Arial" w:cs="Arial"/>
        </w:rPr>
        <w:tab/>
      </w:r>
      <w:r w:rsidR="00C252FC" w:rsidRPr="004E7026">
        <w:rPr>
          <w:rFonts w:ascii="Arial" w:hAnsi="Arial" w:cs="Arial"/>
        </w:rPr>
        <w:tab/>
      </w:r>
    </w:p>
    <w:sectPr w:rsidR="00BF6C33" w:rsidRPr="004E7026">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A4EA7" w14:textId="77777777" w:rsidR="00242A9A" w:rsidRDefault="00242A9A">
      <w:r>
        <w:separator/>
      </w:r>
    </w:p>
  </w:endnote>
  <w:endnote w:type="continuationSeparator" w:id="0">
    <w:p w14:paraId="072B283F" w14:textId="77777777" w:rsidR="00242A9A" w:rsidRDefault="00242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B739" w14:textId="77777777" w:rsidR="006D1FDC" w:rsidRDefault="006D1FDC" w:rsidP="006D1FDC">
    <w:pPr>
      <w:pStyle w:val="ListParagraph"/>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478F1" w14:textId="77777777" w:rsidR="00242A9A" w:rsidRDefault="00242A9A">
      <w:r>
        <w:separator/>
      </w:r>
    </w:p>
  </w:footnote>
  <w:footnote w:type="continuationSeparator" w:id="0">
    <w:p w14:paraId="6F0A64A3" w14:textId="77777777" w:rsidR="00242A9A" w:rsidRDefault="00242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6D3F" w14:textId="77777777" w:rsidR="0079741A" w:rsidRDefault="009A2474">
    <w:pPr>
      <w:pStyle w:val="Header"/>
    </w:pPr>
    <w:r>
      <w:rPr>
        <w:noProof/>
        <w:lang w:eastAsia="en-GB"/>
      </w:rPr>
      <w:drawing>
        <wp:anchor distT="0" distB="0" distL="114300" distR="114300" simplePos="0" relativeHeight="251657728" behindDoc="1" locked="0" layoutInCell="1" allowOverlap="1" wp14:anchorId="5DA04FC8" wp14:editId="6A2185A5">
          <wp:simplePos x="0" y="0"/>
          <wp:positionH relativeFrom="column">
            <wp:posOffset>3771900</wp:posOffset>
          </wp:positionH>
          <wp:positionV relativeFrom="paragraph">
            <wp:posOffset>7620</wp:posOffset>
          </wp:positionV>
          <wp:extent cx="1524000" cy="1270000"/>
          <wp:effectExtent l="0" t="0" r="0" b="6350"/>
          <wp:wrapTight wrapText="bothSides">
            <wp:wrapPolygon edited="0">
              <wp:start x="0" y="0"/>
              <wp:lineTo x="0" y="21384"/>
              <wp:lineTo x="21330" y="21384"/>
              <wp:lineTo x="21330" y="0"/>
              <wp:lineTo x="0" y="0"/>
            </wp:wrapPolygon>
          </wp:wrapTight>
          <wp:docPr id="1" name="Picture 1" descr="NorthernIrelaD18bR05cP01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rnIrelaD18bR05cP01Z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8C30F" w14:textId="77777777" w:rsidR="0079741A" w:rsidRDefault="0079741A">
    <w:pPr>
      <w:pStyle w:val="Header"/>
    </w:pPr>
  </w:p>
  <w:p w14:paraId="078CE714" w14:textId="77777777" w:rsidR="009E32F0" w:rsidRPr="009E32F0" w:rsidRDefault="009E32F0" w:rsidP="009E32F0">
    <w:pPr>
      <w:autoSpaceDE w:val="0"/>
      <w:autoSpaceDN w:val="0"/>
      <w:adjustRightInd w:val="0"/>
      <w:rPr>
        <w:rFonts w:ascii="TrebuchetMS" w:hAnsi="TrebuchetMS" w:cs="TrebuchetMS"/>
        <w:color w:val="FF0000"/>
        <w:sz w:val="52"/>
        <w:szCs w:val="52"/>
        <w:lang w:val="en-US" w:eastAsia="en-GB"/>
      </w:rPr>
    </w:pPr>
    <w:r w:rsidRPr="009E32F0">
      <w:rPr>
        <w:rFonts w:ascii="TrebuchetMS" w:hAnsi="TrebuchetMS" w:cs="TrebuchetMS"/>
        <w:color w:val="FF0000"/>
        <w:sz w:val="52"/>
        <w:szCs w:val="52"/>
        <w:lang w:val="en-US" w:eastAsia="en-GB"/>
      </w:rPr>
      <w:t>Whistleblowing policy</w:t>
    </w:r>
  </w:p>
  <w:p w14:paraId="2EEFE0A1" w14:textId="77777777" w:rsidR="0079741A" w:rsidRDefault="0079741A">
    <w:pPr>
      <w:pStyle w:val="Header"/>
    </w:pPr>
  </w:p>
  <w:p w14:paraId="43895395" w14:textId="77777777" w:rsidR="0079741A" w:rsidRDefault="0079741A">
    <w:pPr>
      <w:pStyle w:val="Header"/>
    </w:pPr>
  </w:p>
  <w:p w14:paraId="065865D5" w14:textId="77777777" w:rsidR="0079741A" w:rsidRDefault="0079741A">
    <w:pPr>
      <w:pStyle w:val="Header"/>
    </w:pPr>
  </w:p>
  <w:p w14:paraId="084742AC" w14:textId="77777777" w:rsidR="0079741A" w:rsidRDefault="0079741A">
    <w:pPr>
      <w:pStyle w:val="Header"/>
    </w:pPr>
  </w:p>
  <w:p w14:paraId="30D56CFE" w14:textId="77777777" w:rsidR="0079741A" w:rsidRPr="008D56F9" w:rsidRDefault="0079741A" w:rsidP="008D56F9">
    <w:pPr>
      <w:pStyle w:val="Header"/>
      <w:ind w:left="2327"/>
      <w:rPr>
        <w:rFonts w:ascii="Arial" w:hAnsi="Arial" w:cs="Arial"/>
        <w:color w:val="003300"/>
        <w:sz w:val="22"/>
        <w:szCs w:val="22"/>
        <w:lang w:val="fr-FR"/>
      </w:rPr>
    </w:pPr>
    <w:r>
      <w:t xml:space="preserve">                                                     </w:t>
    </w:r>
  </w:p>
  <w:p w14:paraId="06FEBF32" w14:textId="13E8772D" w:rsidR="0079741A" w:rsidRPr="008D56F9" w:rsidRDefault="0079741A" w:rsidP="009E32F0">
    <w:pPr>
      <w:pStyle w:val="Header"/>
      <w:rPr>
        <w:lang w:val="fr-FR"/>
      </w:rPr>
    </w:pPr>
    <w:r w:rsidRPr="008D56F9">
      <w:rPr>
        <w:rFonts w:ascii="Arial" w:hAnsi="Arial" w:cs="Arial"/>
        <w:color w:val="003300"/>
        <w:szCs w:val="20"/>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62FC1"/>
    <w:multiLevelType w:val="hybridMultilevel"/>
    <w:tmpl w:val="8A4AA1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60685"/>
    <w:multiLevelType w:val="hybridMultilevel"/>
    <w:tmpl w:val="600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CD237E"/>
    <w:multiLevelType w:val="multilevel"/>
    <w:tmpl w:val="B53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AF5726"/>
    <w:multiLevelType w:val="hybridMultilevel"/>
    <w:tmpl w:val="B4BE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F"/>
    <w:rsid w:val="00014571"/>
    <w:rsid w:val="00040950"/>
    <w:rsid w:val="00042445"/>
    <w:rsid w:val="0005554E"/>
    <w:rsid w:val="00067FB2"/>
    <w:rsid w:val="00082DFD"/>
    <w:rsid w:val="0009074A"/>
    <w:rsid w:val="000E7408"/>
    <w:rsid w:val="00136963"/>
    <w:rsid w:val="00156F85"/>
    <w:rsid w:val="001C44F3"/>
    <w:rsid w:val="001E0BB2"/>
    <w:rsid w:val="0020093F"/>
    <w:rsid w:val="00242A9A"/>
    <w:rsid w:val="00275132"/>
    <w:rsid w:val="002E4EF6"/>
    <w:rsid w:val="002F210F"/>
    <w:rsid w:val="00323F7C"/>
    <w:rsid w:val="003914A4"/>
    <w:rsid w:val="00392C64"/>
    <w:rsid w:val="003A6C49"/>
    <w:rsid w:val="003B1107"/>
    <w:rsid w:val="00473CB3"/>
    <w:rsid w:val="00483649"/>
    <w:rsid w:val="004C25D8"/>
    <w:rsid w:val="004E7026"/>
    <w:rsid w:val="004F04AD"/>
    <w:rsid w:val="005767DA"/>
    <w:rsid w:val="00587531"/>
    <w:rsid w:val="005D46E3"/>
    <w:rsid w:val="005F5FBA"/>
    <w:rsid w:val="00612DE0"/>
    <w:rsid w:val="00617A7E"/>
    <w:rsid w:val="006234B7"/>
    <w:rsid w:val="006761E2"/>
    <w:rsid w:val="006B41A2"/>
    <w:rsid w:val="006C2277"/>
    <w:rsid w:val="006D1FDC"/>
    <w:rsid w:val="006E4044"/>
    <w:rsid w:val="006F2B88"/>
    <w:rsid w:val="006F33DE"/>
    <w:rsid w:val="0073085E"/>
    <w:rsid w:val="00740721"/>
    <w:rsid w:val="00763990"/>
    <w:rsid w:val="00776B70"/>
    <w:rsid w:val="0079741A"/>
    <w:rsid w:val="007B6259"/>
    <w:rsid w:val="007B6960"/>
    <w:rsid w:val="007E690F"/>
    <w:rsid w:val="00812A87"/>
    <w:rsid w:val="008C0700"/>
    <w:rsid w:val="008D56F9"/>
    <w:rsid w:val="00906CAD"/>
    <w:rsid w:val="00933A97"/>
    <w:rsid w:val="009966CD"/>
    <w:rsid w:val="009A2474"/>
    <w:rsid w:val="009D71CB"/>
    <w:rsid w:val="009E32F0"/>
    <w:rsid w:val="00A67034"/>
    <w:rsid w:val="00AC54DC"/>
    <w:rsid w:val="00AD7088"/>
    <w:rsid w:val="00B473E1"/>
    <w:rsid w:val="00B87421"/>
    <w:rsid w:val="00BB4393"/>
    <w:rsid w:val="00BC31D5"/>
    <w:rsid w:val="00BF6C33"/>
    <w:rsid w:val="00C252FC"/>
    <w:rsid w:val="00C377CF"/>
    <w:rsid w:val="00C80A9B"/>
    <w:rsid w:val="00CA6704"/>
    <w:rsid w:val="00CD2051"/>
    <w:rsid w:val="00CD253B"/>
    <w:rsid w:val="00CE6655"/>
    <w:rsid w:val="00D1652D"/>
    <w:rsid w:val="00D4698D"/>
    <w:rsid w:val="00E3798A"/>
    <w:rsid w:val="00E93D98"/>
    <w:rsid w:val="00EE6EA7"/>
    <w:rsid w:val="00F61AF2"/>
    <w:rsid w:val="00F748C3"/>
    <w:rsid w:val="00FC3DC6"/>
    <w:rsid w:val="00FD5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02F45E"/>
  <w15:docId w15:val="{9D57DA00-04D8-4157-B221-A7E3F7F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8D56F9"/>
    <w:pPr>
      <w:tabs>
        <w:tab w:val="center" w:pos="4153"/>
        <w:tab w:val="right" w:pos="8306"/>
      </w:tabs>
    </w:pPr>
  </w:style>
  <w:style w:type="paragraph" w:styleId="Footer">
    <w:name w:val="footer"/>
    <w:basedOn w:val="Normal"/>
    <w:rsid w:val="008D56F9"/>
    <w:pPr>
      <w:tabs>
        <w:tab w:val="center" w:pos="4153"/>
        <w:tab w:val="right" w:pos="8306"/>
      </w:tabs>
    </w:pPr>
  </w:style>
  <w:style w:type="paragraph" w:styleId="ListParagraph">
    <w:name w:val="List Paragraph"/>
    <w:basedOn w:val="Normal"/>
    <w:uiPriority w:val="34"/>
    <w:qFormat/>
    <w:rsid w:val="006D1FDC"/>
    <w:pPr>
      <w:ind w:left="720"/>
    </w:pPr>
    <w:rPr>
      <w:rFonts w:ascii="Calibri" w:eastAsia="Calibri" w:hAnsi="Calibri" w:cs="Calibri"/>
      <w:sz w:val="22"/>
      <w:szCs w:val="22"/>
      <w:lang w:eastAsia="en-GB"/>
    </w:rPr>
  </w:style>
  <w:style w:type="paragraph" w:styleId="PlainText">
    <w:name w:val="Plain Text"/>
    <w:basedOn w:val="Normal"/>
    <w:link w:val="PlainTextChar"/>
    <w:uiPriority w:val="99"/>
    <w:unhideWhenUsed/>
    <w:rsid w:val="00C80A9B"/>
    <w:rPr>
      <w:rFonts w:ascii="Consolas" w:eastAsia="Calibri" w:hAnsi="Consolas"/>
      <w:sz w:val="21"/>
      <w:szCs w:val="21"/>
      <w:lang w:val="en-US"/>
    </w:rPr>
  </w:style>
  <w:style w:type="character" w:customStyle="1" w:styleId="PlainTextChar">
    <w:name w:val="Plain Text Char"/>
    <w:link w:val="PlainText"/>
    <w:uiPriority w:val="99"/>
    <w:rsid w:val="00C80A9B"/>
    <w:rPr>
      <w:rFonts w:ascii="Consolas" w:eastAsia="Calibri" w:hAnsi="Consolas" w:cs="Times New Roman"/>
      <w:sz w:val="21"/>
      <w:szCs w:val="21"/>
    </w:rPr>
  </w:style>
  <w:style w:type="paragraph" w:styleId="BalloonText">
    <w:name w:val="Balloon Text"/>
    <w:basedOn w:val="Normal"/>
    <w:link w:val="BalloonTextChar"/>
    <w:rsid w:val="001C44F3"/>
    <w:rPr>
      <w:rFonts w:ascii="Tahoma" w:hAnsi="Tahoma" w:cs="Tahoma"/>
      <w:sz w:val="16"/>
      <w:szCs w:val="16"/>
    </w:rPr>
  </w:style>
  <w:style w:type="character" w:customStyle="1" w:styleId="BalloonTextChar">
    <w:name w:val="Balloon Text Char"/>
    <w:basedOn w:val="DefaultParagraphFont"/>
    <w:link w:val="BalloonText"/>
    <w:rsid w:val="001C44F3"/>
    <w:rPr>
      <w:rFonts w:ascii="Tahoma" w:hAnsi="Tahoma" w:cs="Tahoma"/>
      <w:sz w:val="16"/>
      <w:szCs w:val="16"/>
      <w:lang w:eastAsia="en-US"/>
    </w:rPr>
  </w:style>
  <w:style w:type="paragraph" w:customStyle="1" w:styleId="Default">
    <w:name w:val="Default"/>
    <w:rsid w:val="001E0BB2"/>
    <w:pPr>
      <w:autoSpaceDE w:val="0"/>
      <w:autoSpaceDN w:val="0"/>
      <w:adjustRightInd w:val="0"/>
    </w:pPr>
    <w:rPr>
      <w:rFonts w:ascii="Verdana" w:hAnsi="Verdana" w:cs="Verdana"/>
      <w:color w:val="000000"/>
      <w:sz w:val="24"/>
      <w:szCs w:val="24"/>
      <w:lang w:val="en-US"/>
    </w:rPr>
  </w:style>
  <w:style w:type="character" w:styleId="UnresolvedMention">
    <w:name w:val="Unresolved Mention"/>
    <w:basedOn w:val="DefaultParagraphFont"/>
    <w:uiPriority w:val="99"/>
    <w:semiHidden/>
    <w:unhideWhenUsed/>
    <w:rsid w:val="00F61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8766">
      <w:bodyDiv w:val="1"/>
      <w:marLeft w:val="0"/>
      <w:marRight w:val="0"/>
      <w:marTop w:val="0"/>
      <w:marBottom w:val="0"/>
      <w:divBdr>
        <w:top w:val="none" w:sz="0" w:space="0" w:color="auto"/>
        <w:left w:val="none" w:sz="0" w:space="0" w:color="auto"/>
        <w:bottom w:val="none" w:sz="0" w:space="0" w:color="auto"/>
        <w:right w:val="none" w:sz="0" w:space="0" w:color="auto"/>
      </w:divBdr>
    </w:div>
    <w:div w:id="315719579">
      <w:bodyDiv w:val="1"/>
      <w:marLeft w:val="0"/>
      <w:marRight w:val="0"/>
      <w:marTop w:val="0"/>
      <w:marBottom w:val="0"/>
      <w:divBdr>
        <w:top w:val="none" w:sz="0" w:space="0" w:color="auto"/>
        <w:left w:val="none" w:sz="0" w:space="0" w:color="auto"/>
        <w:bottom w:val="none" w:sz="0" w:space="0" w:color="auto"/>
        <w:right w:val="none" w:sz="0" w:space="0" w:color="auto"/>
      </w:divBdr>
      <w:divsChild>
        <w:div w:id="588272486">
          <w:marLeft w:val="0"/>
          <w:marRight w:val="0"/>
          <w:marTop w:val="0"/>
          <w:marBottom w:val="0"/>
          <w:divBdr>
            <w:top w:val="none" w:sz="0" w:space="0" w:color="auto"/>
            <w:left w:val="none" w:sz="0" w:space="0" w:color="auto"/>
            <w:bottom w:val="none" w:sz="0" w:space="0" w:color="auto"/>
            <w:right w:val="none" w:sz="0" w:space="0" w:color="auto"/>
          </w:divBdr>
        </w:div>
      </w:divsChild>
    </w:div>
    <w:div w:id="598148792">
      <w:bodyDiv w:val="1"/>
      <w:marLeft w:val="0"/>
      <w:marRight w:val="0"/>
      <w:marTop w:val="0"/>
      <w:marBottom w:val="0"/>
      <w:divBdr>
        <w:top w:val="none" w:sz="0" w:space="0" w:color="auto"/>
        <w:left w:val="none" w:sz="0" w:space="0" w:color="auto"/>
        <w:bottom w:val="none" w:sz="0" w:space="0" w:color="auto"/>
        <w:right w:val="none" w:sz="0" w:space="0" w:color="auto"/>
      </w:divBdr>
    </w:div>
    <w:div w:id="1366054180">
      <w:bodyDiv w:val="1"/>
      <w:marLeft w:val="0"/>
      <w:marRight w:val="0"/>
      <w:marTop w:val="0"/>
      <w:marBottom w:val="0"/>
      <w:divBdr>
        <w:top w:val="none" w:sz="0" w:space="0" w:color="auto"/>
        <w:left w:val="none" w:sz="0" w:space="0" w:color="auto"/>
        <w:bottom w:val="none" w:sz="0" w:space="0" w:color="auto"/>
        <w:right w:val="none" w:sz="0" w:space="0" w:color="auto"/>
      </w:divBdr>
    </w:div>
    <w:div w:id="1461924056">
      <w:bodyDiv w:val="1"/>
      <w:marLeft w:val="0"/>
      <w:marRight w:val="0"/>
      <w:marTop w:val="0"/>
      <w:marBottom w:val="0"/>
      <w:divBdr>
        <w:top w:val="none" w:sz="0" w:space="0" w:color="auto"/>
        <w:left w:val="none" w:sz="0" w:space="0" w:color="auto"/>
        <w:bottom w:val="none" w:sz="0" w:space="0" w:color="auto"/>
        <w:right w:val="none" w:sz="0" w:space="0" w:color="auto"/>
      </w:divBdr>
    </w:div>
    <w:div w:id="19208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direct.gov.uk/articles/blowing-whistle-workplace-wrongdo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1CAE8-F98A-4720-9C70-2E838EBD8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Ulster</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Gill</dc:creator>
  <cp:lastModifiedBy>David Connery</cp:lastModifiedBy>
  <cp:revision>8</cp:revision>
  <cp:lastPrinted>2018-06-20T18:07:00Z</cp:lastPrinted>
  <dcterms:created xsi:type="dcterms:W3CDTF">2020-02-08T16:25:00Z</dcterms:created>
  <dcterms:modified xsi:type="dcterms:W3CDTF">2020-05-01T10:11:00Z</dcterms:modified>
</cp:coreProperties>
</file>